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96BA5" w14:textId="2739C174" w:rsidR="008D23A7" w:rsidRPr="00583E0B" w:rsidRDefault="008D23A7" w:rsidP="009A7D95">
      <w:pPr>
        <w:widowControl/>
        <w:spacing w:before="120" w:after="120"/>
      </w:pPr>
      <w:r>
        <w:rPr>
          <w:sz w:val="20"/>
          <w:szCs w:val="20"/>
        </w:rPr>
        <w:t xml:space="preserve">(Somente para Programa </w:t>
      </w:r>
      <w:r>
        <w:rPr>
          <w:rFonts w:eastAsia="Times New Roman"/>
          <w:sz w:val="20"/>
          <w:szCs w:val="20"/>
        </w:rPr>
        <w:t>ISV</w:t>
      </w:r>
      <w:r>
        <w:rPr>
          <w:sz w:val="20"/>
          <w:szCs w:val="20"/>
        </w:rPr>
        <w:t xml:space="preserve"> Royalty)</w:t>
      </w:r>
    </w:p>
    <w:tbl>
      <w:tblPr>
        <w:tblW w:w="9540" w:type="dxa"/>
        <w:tblLook w:val="01E0" w:firstRow="1" w:lastRow="1" w:firstColumn="1" w:lastColumn="1" w:noHBand="0" w:noVBand="0"/>
      </w:tblPr>
      <w:tblGrid>
        <w:gridCol w:w="9540"/>
      </w:tblGrid>
      <w:tr w:rsidR="008D23A7" w:rsidRPr="00461F1C" w14:paraId="59C95BD4" w14:textId="77777777" w:rsidTr="00991585">
        <w:trPr>
          <w:trHeight w:val="648"/>
        </w:trPr>
        <w:tc>
          <w:tcPr>
            <w:tcW w:w="9540" w:type="dxa"/>
            <w:shd w:val="clear" w:color="auto" w:fill="000080"/>
            <w:vAlign w:val="center"/>
            <w:hideMark/>
          </w:tcPr>
          <w:p w14:paraId="74938104" w14:textId="1AA30247" w:rsidR="008D23A7" w:rsidRPr="00461F1C" w:rsidRDefault="008D23A7" w:rsidP="00611460">
            <w:pPr>
              <w:widowControl/>
              <w:spacing w:before="120" w:after="120"/>
              <w:rPr>
                <w:b/>
                <w:bCs/>
                <w:szCs w:val="20"/>
                <w:lang w:val="en-US" w:eastAsia="zh-CN"/>
              </w:rPr>
            </w:pPr>
            <w:bookmarkStart w:id="0" w:name="_Toc104876522"/>
            <w:bookmarkStart w:id="1" w:name="_Toc116219487"/>
            <w:r w:rsidRPr="00461F1C">
              <w:rPr>
                <w:b/>
                <w:bCs/>
                <w:szCs w:val="20"/>
                <w:lang w:val="en-US"/>
              </w:rPr>
              <w:t>Microsoft</w:t>
            </w:r>
            <w:r w:rsidRPr="00461F1C">
              <w:rPr>
                <w:b/>
                <w:bCs/>
                <w:szCs w:val="20"/>
                <w:vertAlign w:val="superscript"/>
                <w:lang w:val="en-US"/>
              </w:rPr>
              <w:t>®</w:t>
            </w:r>
            <w:r w:rsidRPr="00461F1C">
              <w:rPr>
                <w:b/>
                <w:bCs/>
                <w:szCs w:val="20"/>
                <w:lang w:val="en-US"/>
              </w:rPr>
              <w:t xml:space="preserve"> </w:t>
            </w:r>
            <w:bookmarkStart w:id="2" w:name="_Hlk524083377"/>
            <w:bookmarkEnd w:id="0"/>
            <w:bookmarkEnd w:id="1"/>
            <w:r w:rsidR="007F7295">
              <w:rPr>
                <w:b/>
                <w:bCs/>
                <w:szCs w:val="20"/>
                <w:lang w:val="en-US"/>
              </w:rPr>
              <w:t>Excel</w:t>
            </w:r>
            <w:r w:rsidRPr="00461F1C">
              <w:rPr>
                <w:b/>
                <w:bCs/>
                <w:szCs w:val="20"/>
                <w:vertAlign w:val="superscript"/>
                <w:lang w:val="en-US"/>
              </w:rPr>
              <w:t xml:space="preserve">® </w:t>
            </w:r>
            <w:bookmarkEnd w:id="2"/>
            <w:r w:rsidRPr="00461F1C">
              <w:rPr>
                <w:b/>
                <w:bCs/>
                <w:szCs w:val="20"/>
                <w:lang w:val="en-US"/>
              </w:rPr>
              <w:t xml:space="preserve"> </w:t>
            </w:r>
            <w:r w:rsidR="00C83A22">
              <w:rPr>
                <w:b/>
                <w:bCs/>
                <w:szCs w:val="20"/>
                <w:lang w:val="en-US"/>
              </w:rPr>
              <w:t>LTSC 202</w:t>
            </w:r>
            <w:r w:rsidR="00293A2F">
              <w:rPr>
                <w:b/>
                <w:bCs/>
                <w:szCs w:val="20"/>
                <w:lang w:val="en-US"/>
              </w:rPr>
              <w:t>4</w:t>
            </w:r>
            <w:r w:rsidR="00C83A22">
              <w:rPr>
                <w:b/>
                <w:bCs/>
                <w:szCs w:val="20"/>
                <w:lang w:val="en-US"/>
              </w:rPr>
              <w:t xml:space="preserve"> </w:t>
            </w:r>
            <w:r>
              <w:rPr>
                <w:b/>
                <w:bCs/>
                <w:szCs w:val="20"/>
                <w:u w:val="single"/>
              </w:rPr>
              <w:fldChar w:fldCharType="begin">
                <w:ffData>
                  <w:name w:val="Text33"/>
                  <w:enabled/>
                  <w:calcOnExit w:val="0"/>
                  <w:textInput/>
                </w:ffData>
              </w:fldChar>
            </w:r>
            <w:bookmarkStart w:id="3" w:name="Text33"/>
            <w:r w:rsidR="00F268AF" w:rsidRPr="00461F1C">
              <w:rPr>
                <w:b/>
                <w:bCs/>
                <w:szCs w:val="20"/>
                <w:u w:val="single"/>
                <w:lang w:val="en-US"/>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3"/>
            <w:r w:rsidR="00611460" w:rsidRPr="001E6FD1">
              <w:rPr>
                <w:b/>
                <w:bCs/>
                <w:szCs w:val="20"/>
                <w:vertAlign w:val="superscript"/>
              </w:rPr>
              <w:footnoteReference w:id="2"/>
            </w:r>
            <w:r w:rsidRPr="00461F1C">
              <w:rPr>
                <w:b/>
                <w:bCs/>
                <w:szCs w:val="20"/>
                <w:lang w:val="en-US"/>
              </w:rPr>
              <w:t xml:space="preserve"> Edition </w:t>
            </w:r>
            <w:r w:rsidR="00611460" w:rsidRPr="001E6FD1">
              <w:rPr>
                <w:b/>
                <w:bCs/>
                <w:szCs w:val="20"/>
                <w:vertAlign w:val="superscript"/>
              </w:rPr>
              <w:footnoteReference w:id="3"/>
            </w:r>
            <w:r w:rsidRPr="00461F1C">
              <w:rPr>
                <w:b/>
                <w:bCs/>
                <w:lang w:val="en-US"/>
              </w:rPr>
              <w:t xml:space="preserve"> </w:t>
            </w:r>
          </w:p>
        </w:tc>
      </w:tr>
      <w:tr w:rsidR="008D23A7" w:rsidRPr="00461F1C" w14:paraId="2A7F89CC" w14:textId="77777777" w:rsidTr="00991585">
        <w:trPr>
          <w:trHeight w:val="72"/>
        </w:trPr>
        <w:tc>
          <w:tcPr>
            <w:tcW w:w="9540" w:type="dxa"/>
          </w:tcPr>
          <w:p w14:paraId="1CD4CB14" w14:textId="77777777" w:rsidR="008D23A7" w:rsidRPr="00461F1C"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309CD131" w:rsidR="008D23A7" w:rsidRPr="00BE2BDB" w:rsidRDefault="008D23A7" w:rsidP="009A7D95">
            <w:pPr>
              <w:pStyle w:val="LicenseNumberChar"/>
              <w:spacing w:before="120" w:after="120"/>
              <w:rPr>
                <w:sz w:val="24"/>
                <w:szCs w:val="24"/>
              </w:rPr>
            </w:pPr>
            <w:r w:rsidRPr="00BE2BDB">
              <w:rPr>
                <w:sz w:val="24"/>
                <w:szCs w:val="24"/>
              </w:rPr>
              <w:t xml:space="preserve">Licenças: </w:t>
            </w:r>
            <w:r w:rsidRPr="00BE2BDB">
              <w:rPr>
                <w:sz w:val="24"/>
                <w:szCs w:val="24"/>
                <w:u w:val="single"/>
              </w:rPr>
              <w:fldChar w:fldCharType="begin">
                <w:ffData>
                  <w:name w:val="Text33"/>
                  <w:enabled/>
                  <w:calcOnExit w:val="0"/>
                  <w:textInput/>
                </w:ffData>
              </w:fldChar>
            </w:r>
            <w:r w:rsidRPr="00BE2BDB">
              <w:rPr>
                <w:sz w:val="24"/>
                <w:szCs w:val="24"/>
                <w:u w:val="single"/>
              </w:rPr>
              <w:instrText xml:space="preserve"> FORMTEXT </w:instrText>
            </w:r>
            <w:r w:rsidRPr="00BE2BDB">
              <w:rPr>
                <w:sz w:val="24"/>
                <w:szCs w:val="24"/>
                <w:u w:val="single"/>
              </w:rPr>
            </w:r>
            <w:r w:rsidRPr="00BE2BDB">
              <w:rPr>
                <w:sz w:val="24"/>
                <w:szCs w:val="24"/>
                <w:u w:val="single"/>
              </w:rPr>
              <w:fldChar w:fldCharType="separate"/>
            </w:r>
            <w:r w:rsidRPr="00BE2BDB">
              <w:rPr>
                <w:noProof/>
                <w:sz w:val="24"/>
                <w:szCs w:val="24"/>
                <w:u w:val="single"/>
              </w:rPr>
              <w:t> </w:t>
            </w:r>
            <w:r w:rsidRPr="00BE2BDB">
              <w:rPr>
                <w:noProof/>
                <w:sz w:val="24"/>
                <w:szCs w:val="24"/>
                <w:u w:val="single"/>
              </w:rPr>
              <w:t> </w:t>
            </w:r>
            <w:r w:rsidRPr="00BE2BDB">
              <w:rPr>
                <w:noProof/>
                <w:sz w:val="24"/>
                <w:szCs w:val="24"/>
                <w:u w:val="single"/>
              </w:rPr>
              <w:t> </w:t>
            </w:r>
            <w:r w:rsidRPr="00BE2BDB">
              <w:rPr>
                <w:noProof/>
                <w:sz w:val="24"/>
                <w:szCs w:val="24"/>
                <w:u w:val="single"/>
              </w:rPr>
              <w:t> </w:t>
            </w:r>
            <w:r w:rsidRPr="00BE2BDB">
              <w:rPr>
                <w:noProof/>
                <w:sz w:val="24"/>
                <w:szCs w:val="24"/>
                <w:u w:val="single"/>
              </w:rPr>
              <w:t> </w:t>
            </w:r>
            <w:r w:rsidRPr="00BE2BDB">
              <w:rPr>
                <w:sz w:val="24"/>
                <w:szCs w:val="24"/>
              </w:rPr>
              <w:fldChar w:fldCharType="end"/>
            </w:r>
            <w:r w:rsidR="00611460" w:rsidRPr="00BE2BDB">
              <w:rPr>
                <w:rStyle w:val="LicenseNumSuperChar"/>
                <w:b/>
                <w:sz w:val="24"/>
                <w:szCs w:val="24"/>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611460">
        <w:trPr>
          <w:trHeight w:val="531"/>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CONTRATO DE LICENÇA DE USUÁRIO FINAL</w:t>
            </w:r>
          </w:p>
        </w:tc>
      </w:tr>
    </w:tbl>
    <w:p w14:paraId="07ECB1DC" w14:textId="786A1F1A" w:rsidR="00FD75BC" w:rsidRPr="00583E0B" w:rsidRDefault="00FD75BC" w:rsidP="009A7D95">
      <w:pPr>
        <w:spacing w:before="120" w:after="120"/>
      </w:pPr>
      <w:r>
        <w:rPr>
          <w:b/>
          <w:sz w:val="20"/>
          <w:szCs w:val="20"/>
        </w:rPr>
        <w:t xml:space="preserve">SE VOCÊ MORAR </w:t>
      </w:r>
      <w:r>
        <w:rPr>
          <w:b/>
          <w:bCs/>
          <w:sz w:val="20"/>
          <w:szCs w:val="20"/>
        </w:rPr>
        <w:t xml:space="preserve">(OU SE A SEDE DA SUA EMPRESA ESTIVER LOCALIZADA) </w:t>
      </w:r>
      <w:r>
        <w:rPr>
          <w:b/>
          <w:sz w:val="20"/>
          <w:szCs w:val="20"/>
        </w:rPr>
        <w:t>NOS ESTADOS UNIDOS, LEIA A CLÁUSULA DE ARBITRAGEM LEGAL E DE RENÚNCIA A AÇÕES COLETIVAS NA SEÇÃO 8. ELA AFETA A FORMA COMO AS CONTROVÉRSIAS SÃO RESOLVIDAS COM O LICENCIANTE OU A MICROSOFT.</w:t>
      </w:r>
    </w:p>
    <w:p w14:paraId="409C2007" w14:textId="6F39F63E" w:rsidR="00FD2E77" w:rsidRPr="00583E0B" w:rsidRDefault="00FD75BC" w:rsidP="009A7D95">
      <w:pPr>
        <w:spacing w:before="120" w:after="120"/>
      </w:pPr>
      <w:r>
        <w:rPr>
          <w:b/>
          <w:sz w:val="20"/>
          <w:szCs w:val="20"/>
        </w:rPr>
        <w:t xml:space="preserve">Obrigado por escolher um software aplicativo que inclui o Microsoft </w:t>
      </w:r>
      <w:r w:rsidR="007F7295">
        <w:rPr>
          <w:b/>
          <w:sz w:val="20"/>
          <w:szCs w:val="20"/>
        </w:rPr>
        <w:t>Excel</w:t>
      </w:r>
      <w:r>
        <w:rPr>
          <w:b/>
          <w:sz w:val="20"/>
          <w:szCs w:val="20"/>
        </w:rPr>
        <w:t>.</w:t>
      </w:r>
    </w:p>
    <w:p w14:paraId="7B2F7569" w14:textId="2704D9C8" w:rsidR="00746776" w:rsidRPr="00583E0B" w:rsidRDefault="00FD4666" w:rsidP="009A7D95">
      <w:pPr>
        <w:spacing w:before="120" w:after="120"/>
      </w:pPr>
      <w:r>
        <w:rPr>
          <w:sz w:val="20"/>
          <w:szCs w:val="20"/>
        </w:rPr>
        <w:t>Este é um contrato de licença firmado entre você e o licenciante do software aplicativo ou do conjunto de aplicativos com o qual você adquiriu o software da Microsoft (“licenciante”).</w:t>
      </w:r>
    </w:p>
    <w:p w14:paraId="2961AE9D" w14:textId="3AAA7755" w:rsidR="0000160A" w:rsidRPr="00583E0B" w:rsidRDefault="0000160A" w:rsidP="009A7D95">
      <w:pPr>
        <w:spacing w:before="120" w:after="120"/>
      </w:pPr>
      <w:r>
        <w:rPr>
          <w:sz w:val="20"/>
          <w:szCs w:val="20"/>
        </w:rPr>
        <w:t xml:space="preserve">Este contrato descreve seus direitos e as condições sob as quais você pode usar o software Microsoft </w:t>
      </w:r>
      <w:r w:rsidR="007F7295">
        <w:rPr>
          <w:sz w:val="20"/>
          <w:szCs w:val="20"/>
        </w:rPr>
        <w:t>Excel</w:t>
      </w:r>
      <w:r>
        <w:rPr>
          <w:sz w:val="20"/>
          <w:szCs w:val="20"/>
        </w:rPr>
        <w:t xml:space="preserve">. É necessário analisar o acordo integral, inclusive </w:t>
      </w:r>
      <w:r>
        <w:rPr>
          <w:bCs/>
          <w:sz w:val="20"/>
          <w:szCs w:val="20"/>
        </w:rPr>
        <w:t xml:space="preserve">todos os termos de licença complementares que acompanham o software e </w:t>
      </w:r>
      <w:r>
        <w:rPr>
          <w:sz w:val="20"/>
          <w:szCs w:val="20"/>
        </w:rPr>
        <w:t>quaisquer termos vinculados uma vez que todos são importantes e juntos criam este contrato que se aplica a você. Você pode revisar os termos vinculados colando o link aplicável em uma janela do navegador.</w:t>
      </w:r>
    </w:p>
    <w:p w14:paraId="471601CE" w14:textId="52C3AD0E" w:rsidR="00D23716" w:rsidRPr="00583E0B" w:rsidRDefault="00D23716" w:rsidP="009A7D95">
      <w:pPr>
        <w:spacing w:before="120" w:after="120"/>
      </w:pPr>
      <w:r>
        <w:rPr>
          <w:b/>
          <w:bCs/>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w:t>
      </w:r>
      <w:r>
        <w:rPr>
          <w:b/>
          <w:sz w:val="20"/>
          <w:szCs w:val="20"/>
        </w:rPr>
        <w:t>4</w:t>
      </w:r>
      <w:r>
        <w:rPr>
          <w:b/>
          <w:bCs/>
          <w:sz w:val="20"/>
          <w:szCs w:val="20"/>
        </w:rPr>
        <w:t xml:space="preserve">. Se você não aceitar nem cumprir estes termos, não poderá usar o software nem seus recursos. </w:t>
      </w:r>
      <w:r>
        <w:rPr>
          <w:bCs/>
          <w:sz w:val="20"/>
          <w:szCs w:val="20"/>
        </w:rPr>
        <w:t>Você pode contatar o local no qual você adquiriu a licença de software para determinar sua política de devolução e devolver o software e obter um reembolso ou crédito segundo os termos daquela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VISÃO GERAL.</w:t>
      </w:r>
    </w:p>
    <w:p w14:paraId="692B3DEC" w14:textId="773FF563"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Aplicabilidade. </w:t>
      </w:r>
      <w:r>
        <w:rPr>
          <w:bCs/>
          <w:sz w:val="20"/>
          <w:szCs w:val="20"/>
        </w:rPr>
        <w:t xml:space="preserve">Este contrato se aplica ao software Microsoft </w:t>
      </w:r>
      <w:r w:rsidR="007F7295">
        <w:rPr>
          <w:bCs/>
          <w:sz w:val="20"/>
          <w:szCs w:val="20"/>
        </w:rPr>
        <w:t>Excel</w:t>
      </w:r>
      <w:r>
        <w:rPr>
          <w:bCs/>
          <w:sz w:val="20"/>
          <w:szCs w:val="20"/>
        </w:rPr>
        <w:t>, à mídia na qual você recebeu o software (se houver), todas as fontes, os ícones, as imagens ou os arquivos de som incluídos no software, além de quaisquer atualizações, upgrades, suplementos ou serviços para o software, a menos que outros termos os acompanhem.</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Termos adicionais. </w:t>
      </w:r>
      <w:r>
        <w:rPr>
          <w:bCs/>
          <w:sz w:val="20"/>
          <w:szCs w:val="20"/>
        </w:rPr>
        <w:t>Termos adicionais da Microsoft e de terceiros podem se aplicar ao uso que você faz de determinados recursos, serviços e aplicativos. Leia-os atentamente.</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Alguns recursos do software fornecem um ponto de acesso ou se baseiam em serviços online, </w:t>
      </w:r>
      <w:r>
        <w:rPr>
          <w:bCs/>
          <w:sz w:val="20"/>
          <w:szCs w:val="20"/>
        </w:rPr>
        <w:lastRenderedPageBreak/>
        <w:t xml:space="preserve">e o uso desses serviços às vezes é regido por termos e políticas de privacidade separados, como o Contrato de Serviços da Microsoft em </w:t>
      </w:r>
      <w:r>
        <w:rPr>
          <w:color w:val="000000" w:themeColor="text1"/>
          <w:sz w:val="20"/>
          <w:szCs w:val="20"/>
        </w:rPr>
        <w:t>(</w:t>
      </w:r>
      <w:hyperlink r:id="rId11" w:history="1">
        <w:r>
          <w:rPr>
            <w:rStyle w:val="Hyperlink"/>
            <w:bCs/>
            <w:sz w:val="20"/>
            <w:szCs w:val="20"/>
          </w:rPr>
          <w:t>aka.ms/msa</w:t>
        </w:r>
      </w:hyperlink>
      <w:r>
        <w:rPr>
          <w:bCs/>
          <w:sz w:val="20"/>
          <w:szCs w:val="20"/>
        </w:rPr>
        <w:t>). Estes termos e políticas podem ser visualizados nos termos de uso do serviço aplicáveis. Os serviços podem não estar disponíveis em todas as regiões.</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O software adicional pode incluir programas de terceiros que a Microsoft, não o terceiro, licencia a você de acordo com este contrato. Notificações, se houver, relativas ao programa de terceiros, são incluídas somente para fins informativos.</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DIREITOS DE INSTALAÇÃO E USO.</w:t>
      </w:r>
    </w:p>
    <w:p w14:paraId="26ECB5AD" w14:textId="55F39211" w:rsidR="00482AB8"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Licença.</w:t>
      </w:r>
      <w:r>
        <w:rPr>
          <w:sz w:val="20"/>
          <w:szCs w:val="20"/>
        </w:rPr>
        <w:t xml:space="preserve"> </w:t>
      </w:r>
      <w:r>
        <w:rPr>
          <w:bCs/>
          <w:sz w:val="20"/>
          <w:szCs w:val="20"/>
        </w:rPr>
        <w:t>O software é licenciado, e não vendido</w:t>
      </w:r>
      <w:r>
        <w:rPr>
          <w:sz w:val="20"/>
          <w:szCs w:val="20"/>
        </w:rPr>
        <w:t xml:space="preserve">. </w:t>
      </w:r>
      <w:r>
        <w:rPr>
          <w:bCs/>
          <w:sz w:val="20"/>
          <w:szCs w:val="20"/>
        </w:rPr>
        <w:t xml:space="preserve">De acordo com este contrato, outorgamos a você o direito de instalar e executar uma instância de software em seu dispositivo (o dispositivo licenciado) para ser usada apenas por uma pessoa de cada vez, mas apenas se você obedecer a todas as outras condições deste contrato. Consulte as Seções </w:t>
      </w:r>
      <w:r>
        <w:rPr>
          <w:sz w:val="20"/>
          <w:szCs w:val="20"/>
        </w:rPr>
        <w:t>11-13</w:t>
      </w:r>
      <w:r>
        <w:rPr>
          <w:bCs/>
          <w:sz w:val="20"/>
          <w:szCs w:val="20"/>
        </w:rPr>
        <w:t xml:space="preserve"> abaixo para obter licenças e condições específicas para versões de direitos limitadas, </w:t>
      </w:r>
      <w:r>
        <w:rPr>
          <w:sz w:val="20"/>
          <w:szCs w:val="20"/>
        </w:rPr>
        <w:t>determinadas regiões geográficas e edições especiais</w:t>
      </w:r>
      <w:r>
        <w:rPr>
          <w:bCs/>
          <w:sz w:val="20"/>
          <w:szCs w:val="20"/>
        </w:rPr>
        <w:t xml:space="preserve">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Neste contrato, “dispositivo” significa um sistema de hardware (físico ou virtual) com um dispositivo de armazenamento interno capaz de executar o software. Uma partição de hardware ou um blade é considerado como um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Restrições. </w:t>
      </w:r>
      <w:r>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usar nem virtualizar recursos do software separadamente;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publicar, copiar, alugar, arrendar ou emprestar o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transferir o software (exceto conforme permitido por este contrato);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contornar quaisquer restrições ou limitações técnicas do software;</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ao usar os recursos de Internet, você não poderá usar esses recursos de forma que possa interferir no uso deles ou tentar obter acesso ou usar a qualquer serviço, dados, conta ou rede de uma forma não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Vários cenários de uso.</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Várias versões.</w:t>
      </w:r>
      <w:r>
        <w:rPr>
          <w:sz w:val="20"/>
          <w:szCs w:val="20"/>
        </w:rPr>
        <w:t xml:space="preserve"> Se, ao adquirir o software, você receber várias versões (como versões de 32 e 64 bits), você poderá instalar e ativar apenas uma das versões de cada vez.</w:t>
      </w:r>
    </w:p>
    <w:p w14:paraId="6FC6C02A" w14:textId="08E8BCB1" w:rsidR="00872FAC" w:rsidRPr="00583E0B" w:rsidRDefault="00C5586D" w:rsidP="00BE2BDB">
      <w:pPr>
        <w:pStyle w:val="ListParagraph"/>
        <w:keepNext/>
        <w:keepLines/>
        <w:widowControl/>
        <w:numPr>
          <w:ilvl w:val="2"/>
          <w:numId w:val="12"/>
        </w:numPr>
        <w:tabs>
          <w:tab w:val="left" w:pos="1080"/>
        </w:tabs>
        <w:spacing w:before="120" w:after="120"/>
        <w:ind w:left="1080" w:hanging="360"/>
        <w:contextualSpacing w:val="0"/>
      </w:pPr>
      <w:r>
        <w:rPr>
          <w:b/>
          <w:sz w:val="20"/>
          <w:szCs w:val="20"/>
        </w:rPr>
        <w:t>Várias conexões ou conexões em conjunto.</w:t>
      </w:r>
      <w:r>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Uso em um ambiente virtualizado.</w:t>
      </w:r>
      <w:r>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Acesso remoto.</w:t>
      </w:r>
      <w:r>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edição mais recente do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Assistência remota.</w:t>
      </w:r>
      <w:r>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Cópia de backup. </w:t>
      </w:r>
      <w:r>
        <w:rPr>
          <w:sz w:val="20"/>
          <w:szCs w:val="20"/>
        </w:rPr>
        <w:t>Você pode solicitar ou baixar uma cópia de backup do software do site (office.com/backup) e pode usar a cópia de backup para transferir o software caso ele tenha sido adquirido de um revendedor, conforme descrito abaixo. O direito a uma cópia de backup não se aplica ao software do Home Use Program (consulte a Seção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TRANSFERÊNCIA A TERCEIROS. </w:t>
      </w:r>
      <w:r>
        <w:rPr>
          <w:bCs/>
          <w:sz w:val="20"/>
          <w:szCs w:val="20"/>
        </w:rPr>
        <w:t>As disposições desta seção não se aplicam se você adquiriu o software na Área Econômica Europeia (EEA) e só o transferir a outra pessoa física ou jurídica na EEA, neste caso, qualquer transferência do software, como parte de uma transferência de software aplicativo integrado ou do conjunto de aplicativos (a “Solução Unificada”) fornecido a você pelo ou em nome do licenciante exclusivamente como parte da Solução Unificada e o direto de usá-lo deverá cumprir a lei aplicável.</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Você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“dispositivo licenciado”. Também poderá transferir o software para um dispositivo que pertence a outra pessoa se (i) você for o primeiro usuário licenciado do software, (ii) o novo usuário concordar com os termos deste contrato, e (iii) a transferência do software e a licença fizer parte de uma transferência da Solução Unificada fornecida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PRIVACIDADE; CONSENTIMENTO PARA USAR OS DADOS.</w:t>
      </w:r>
      <w:r>
        <w:rPr>
          <w:bCs/>
          <w:sz w:val="20"/>
          <w:szCs w:val="20"/>
        </w:rPr>
        <w:t xml:space="preserve"> A sua privacidade é importante para nós. Alguns recursos de software enviam ou recebem essas informações ao usar esses recursos. É possível ativar ou desativar muitos desses recursos na interface do usuário ou optar por não usá-los. Ao aceitar este contrato e usar o software, você concorda que a Microsoft pode coletar, usar e divulgar as informações conforme descrito na Política de Privacidade da Microsoft em </w:t>
      </w:r>
      <w:r>
        <w:rPr>
          <w:sz w:val="20"/>
          <w:szCs w:val="20"/>
        </w:rPr>
        <w:t>(</w:t>
      </w:r>
      <w:hyperlink r:id="rId12" w:history="1">
        <w:r>
          <w:rPr>
            <w:rStyle w:val="Hyperlink"/>
            <w:sz w:val="20"/>
            <w:szCs w:val="20"/>
          </w:rPr>
          <w:t>aka.ms/privacy</w:t>
        </w:r>
      </w:hyperlink>
      <w:r>
        <w:rPr>
          <w:sz w:val="20"/>
          <w:szCs w:val="20"/>
        </w:rPr>
        <w:t>), e conforme pode estar descrito na interface do usuário associada a recursos de software</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ATIVAÇÃO E SOFTWARE AUTORIZADO.</w:t>
      </w:r>
      <w:r>
        <w:rPr>
          <w:sz w:val="20"/>
          <w:szCs w:val="20"/>
        </w:rPr>
        <w:t xml:space="preserve"> Você está autorizado a usar esse software somente se você estiver devidamente licenciado e o software tiver sido adequadamente ativado com uma chave de produto original ou por outro método autorizado. Quando você se conectar à Internet ao usar o software, o software contatará automaticamente a Microsoft ou sua afiliada para confirmar que o software é original e a licença está associada ao dispositivo licenciado. Dependendo da sua localização geográfica,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Se você ativar o software pela internet, talvez seja necessário se reconectar à Internet periodicamente ao usar o software para confirmar a licença associada ao dispositivo licenciado; caso não se reconecte, o software poderá operar com funcionalidade reduzida. Você também pode receber lembretes para obter uma licença apropriada para o software. É vedado contornar ou ignorar a validação. Determinadas atualizações, serviços de suporte, entre outros, poderão ser oferecidos somente a usuários de software original da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ATUALIZAÇÕES. </w:t>
      </w:r>
      <w:r>
        <w:rPr>
          <w:bCs/>
          <w:sz w:val="20"/>
          <w:szCs w:val="20"/>
        </w:rPr>
        <w:t xml:space="preserve">O software procura periodicamente por atualizações de software, as baixa e instala para você. </w:t>
      </w:r>
      <w:r>
        <w:rPr>
          <w:sz w:val="20"/>
          <w:szCs w:val="20"/>
        </w:rPr>
        <w:t xml:space="preserve">Você pode obter atualizações somente da Microsoft ou de fontes autorizadas e, </w:t>
      </w:r>
      <w:r>
        <w:rPr>
          <w:bCs/>
          <w:sz w:val="20"/>
          <w:szCs w:val="20"/>
        </w:rPr>
        <w:t>ao aceitar este contrato, você concorda em receber esses tipos de atualizações automáticas sem qualquer notificação adicional.</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RESTRIÇÕES GEOGRÁFICAS E DE EXPORTAÇÃO. </w:t>
      </w:r>
      <w:r>
        <w:rPr>
          <w:bCs/>
          <w:sz w:val="20"/>
          <w:szCs w:val="20"/>
        </w:rPr>
        <w:t>Se seu software tiver restrições de uso em uma determinada região geográfica específica, então você poderá ativar o software somente naquela região. Também deverá cumprir todas as leis e regulamentos de exportação nacionais e internacionais que se aplicam ao software, que incluem restrições de destinos, usuários finais e uso final. Para obter mais informações sobre restrições de exportação, visite o site (</w:t>
      </w:r>
      <w:hyperlink r:id="rId13"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ARBITRAGEM LEGAL E RENÚNCIA A AÇÕES COLETIVAS. </w:t>
      </w:r>
      <w:r>
        <w:rPr>
          <w:bCs/>
          <w:sz w:val="20"/>
          <w:szCs w:val="20"/>
        </w:rPr>
        <w:t>Esta seção se aplica a você apenas se você residir (ou, se você for uma pessoa jurídica, se sua sede estiver) nos Estados Unidos (não aplicável a residentes ou empresas com sede fora dos Estados Unidos).</w:t>
      </w:r>
    </w:p>
    <w:p w14:paraId="781B3289" w14:textId="34CC2E4E" w:rsidR="000936BD" w:rsidRPr="00583E0B" w:rsidRDefault="00871D65" w:rsidP="009A7D95">
      <w:pPr>
        <w:spacing w:before="120" w:after="120"/>
        <w:ind w:left="360"/>
      </w:pPr>
      <w:r>
        <w:rPr>
          <w:sz w:val="20"/>
          <w:szCs w:val="20"/>
        </w:rPr>
        <w:t xml:space="preserve">Em caso de controvérsia, você e o licenciante concordam em tentar por 60 dias solucioná-la informalmente. Se não conseguirem chegar a uma solução informal, você e o licenciante concordam com a </w:t>
      </w:r>
      <w:r>
        <w:rPr>
          <w:b/>
          <w:sz w:val="20"/>
          <w:szCs w:val="20"/>
        </w:rPr>
        <w:t>arbitragem legal individual perante a American Arbitration Association (“AAA”) sob a Lei de Arbitragem Federal (“FAA”) e não recorrer a um tribunal perante um juiz ou júri</w:t>
      </w:r>
      <w:r>
        <w:rPr>
          <w:sz w:val="20"/>
          <w:szCs w:val="20"/>
        </w:rPr>
        <w:t xml:space="preserve">. Em vez disso, um árbitro neutro decidirá, e a decisão dele será definitiva exceto por um direito limitado de revisão previsto na FAA. </w:t>
      </w:r>
      <w:r>
        <w:rPr>
          <w:b/>
          <w:sz w:val="20"/>
          <w:szCs w:val="20"/>
        </w:rPr>
        <w:t>Processos de ações coletivas, arbitragens para toda uma classe, ações gerais de advogado particular e qualquer outro processo judicial no qual alguém aja em uma capacidade representativa não são permitidos. Não é permitido combinar processos individuais sem o consentimento de todas as partes.</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Controvérsias cobertas – tudo exceto IP.</w:t>
      </w:r>
      <w:r>
        <w:rPr>
          <w:b/>
          <w:bCs/>
          <w:sz w:val="20"/>
          <w:szCs w:val="20"/>
        </w:rPr>
        <w:t xml:space="preserve"> </w:t>
      </w:r>
      <w:r>
        <w:rPr>
          <w:bCs/>
          <w:sz w:val="20"/>
          <w:szCs w:val="20"/>
        </w:rPr>
        <w:t>O</w:t>
      </w:r>
      <w:r>
        <w:rPr>
          <w:sz w:val="20"/>
          <w:szCs w:val="20"/>
        </w:rPr>
        <w:t xml:space="preserve"> termo “controvérsia” é o mais amplo possível. Ele inclui qualquer queixa judicial ou extrajudicial ou controvérsia entre você e o </w:t>
      </w:r>
      <w:r>
        <w:rPr>
          <w:bCs/>
          <w:sz w:val="20"/>
          <w:szCs w:val="20"/>
        </w:rPr>
        <w:t>licenciante</w:t>
      </w:r>
      <w:r>
        <w:rPr>
          <w:sz w:val="20"/>
          <w:szCs w:val="20"/>
        </w:rPr>
        <w:t xml:space="preserve"> ou entre você e a Microsoft a respeito do software, seu preço, das propagandas, das comercializações, dos comunicados, das operações de compra, das cobranças ou deste contrato, de acordo com qualquer embasamento jurídico, inclusive contrato, garantia, ato ilícito extracontratual, estatuto ou regulamento, </w:t>
      </w:r>
      <w:r>
        <w:rPr>
          <w:b/>
          <w:sz w:val="20"/>
          <w:szCs w:val="20"/>
        </w:rPr>
        <w:t>exceto controvérsias relacionadas à imposição ou validade dos direitos de propriedade intelectual do licenciante, da Microsoft, do licenciante da Microsoft ou seus.</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Primeiro envie uma</w:t>
      </w:r>
      <w:r>
        <w:rPr>
          <w:sz w:val="20"/>
          <w:szCs w:val="20"/>
        </w:rPr>
        <w:t xml:space="preserve"> </w:t>
      </w:r>
      <w:r>
        <w:rPr>
          <w:b/>
          <w:sz w:val="20"/>
          <w:szCs w:val="20"/>
        </w:rPr>
        <w:t>Notificação de Controvérsia pelo correio.</w:t>
      </w:r>
      <w:r>
        <w:rPr>
          <w:sz w:val="20"/>
          <w:szCs w:val="20"/>
        </w:rPr>
        <w:t xml:space="preserve"> Se você tiver uma controvérsia com o licenciante, envie uma Notificação de Controvérsia pelo correio para o licenciante, ATTN: LEGAL DEPARTMENT. Depois de 60 dias, você ou nós poderemos iniciar uma arbitragem se a controvérsia não for resolvida.</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Opção de tribunal de pequenas causas.</w:t>
      </w:r>
      <w:r>
        <w:rPr>
          <w:sz w:val="20"/>
          <w:szCs w:val="20"/>
        </w:rPr>
        <w:t xml:space="preserve"> Em vez de enviar uma Notificação de Controvérsia pelo correio, você poderá recorrer ao tribunal de pequenas causas na jurisdição de sua residência (ou, se você for pessoa jurídica, a sede da empresa) ou na sede do licenciante.</w:t>
      </w:r>
    </w:p>
    <w:p w14:paraId="35CDB44C" w14:textId="246F432C"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Procedimento de arbitragem. </w:t>
      </w:r>
      <w:r>
        <w:rPr>
          <w:sz w:val="20"/>
          <w:szCs w:val="20"/>
        </w:rPr>
        <w:t>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w:t>
      </w:r>
      <w:hyperlink r:id="rId14" w:history="1">
        <w:r>
          <w:rPr>
            <w:rStyle w:val="Hyperlink"/>
            <w:sz w:val="20"/>
            <w:szCs w:val="20"/>
          </w:rPr>
          <w:t>aka.ms/adr</w:t>
        </w:r>
      </w:hyperlink>
      <w:r>
        <w:rPr>
          <w:sz w:val="20"/>
          <w:szCs w:val="20"/>
        </w:rPr>
        <w:t>) ou ligue para 1-800-778-7879. Para iniciar uma arbitragem, envie o formulário disponível no site (</w:t>
      </w:r>
      <w:hyperlink r:id="rId15" w:history="1">
        <w:r>
          <w:rPr>
            <w:rStyle w:val="Hyperlink"/>
            <w:sz w:val="20"/>
            <w:szCs w:val="20"/>
          </w:rPr>
          <w:t>aka.ms/arbitration</w:t>
        </w:r>
      </w:hyperlink>
      <w:r>
        <w:rPr>
          <w:sz w:val="20"/>
          <w:szCs w:val="20"/>
        </w:rPr>
        <w:t>) para a AAA; envie uma cópia para o licenciante. Em uma controvérsia que envolva US$ 25.000 ou menos, qualquer audiência será telefônica, 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à sua queixa judicial ou extrajudicial individual. De acordo com as Regras da AAA, o árbitro decide sobre a sua própria jurisdição, incluindo a arbitrabilidade de qualquer queixa judicial ou extrajudicial. No entanto, o tribunal tem autorização exclusiva para exigir a proibição da arbitragem relativa a ações coletivas ou à qualidade de representante.</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Honorários e pagamentos da arbitragem</w:t>
      </w:r>
      <w:r>
        <w:rPr>
          <w:b/>
          <w:bCs/>
          <w:sz w:val="20"/>
          <w:szCs w:val="20"/>
        </w:rPr>
        <w:t>.</w:t>
      </w:r>
    </w:p>
    <w:p w14:paraId="140C6925" w14:textId="186A166F"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US$ 75.000,00 ou menos</w:t>
      </w:r>
      <w:r>
        <w:rPr>
          <w:sz w:val="20"/>
          <w:szCs w:val="20"/>
        </w:rPr>
        <w:t>. O licenciante reembolsará prontamente suas tarifas de arquivamento e pagará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mais de US$ 75.000,00.</w:t>
      </w:r>
      <w:r>
        <w:rPr>
          <w:sz w:val="20"/>
          <w:szCs w:val="20"/>
        </w:rPr>
        <w:t xml:space="preserve"> As regras da AAA regerão o pagamento de valores do processo e os honorários e despesas da AAA e do árbitro.</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Deve ingressar com a arbitragem no prazo de um ano.</w:t>
      </w:r>
      <w:r>
        <w:rPr>
          <w:bCs/>
          <w:sz w:val="20"/>
          <w:szCs w:val="20"/>
        </w:rPr>
        <w:t xml:space="preserve"> </w:t>
      </w:r>
      <w:r>
        <w:rPr>
          <w:sz w:val="20"/>
          <w:szCs w:val="20"/>
        </w:rPr>
        <w:t>Tanto você quanto o licenciante devem ingressar no tribunal de pequenas causas ou arbitragem qualquer queixa judicial ou extrajudicial ou controvérsia (exceto controvérsias de propriedade intelectual — consulte a Seção 8.a) em um ano contado a partir de quando ele foi ingressado primeiro. Caso contrário, isso será proibido permanentemente.</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Autonomia das Cláusulas</w:t>
      </w:r>
      <w:r w:rsidRPr="00BE2BDB">
        <w:rPr>
          <w:b/>
          <w:sz w:val="20"/>
          <w:szCs w:val="20"/>
        </w:rPr>
        <w:t>.</w:t>
      </w:r>
      <w:r>
        <w:rPr>
          <w:sz w:val="20"/>
          <w:szCs w:val="20"/>
        </w:rPr>
        <w:t xml:space="preserve"> Se qualquer trecho da Seção 8 (Arbitragem Legal e Renúncia a Ações Coletivas) for considerado ilegal ou inexequível, o restante permanecerá em vigor (com uma sentença arbitral expedida antes de ser iniciado qualquer procedimento judicial), exceto se houver ilegalidade parcial ou inexequibilidade que possibilite a arbitragem relativa a ações coletivas ou à qualidade de representante, a Seção 8 será inexequível em sua totalidade.</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Conflito com as regras da AAA.</w:t>
      </w:r>
      <w:r>
        <w:rPr>
          <w:sz w:val="20"/>
          <w:szCs w:val="20"/>
        </w:rPr>
        <w:t xml:space="preserve"> Este contrato prevalecerá se ele estiver em conflito com as Regras Comerciais para Arbitragem da AAA ou com as Regras de Arbitragem para Clientes.</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como um beneficiário terceiro.</w:t>
      </w:r>
      <w:r>
        <w:rPr>
          <w:sz w:val="20"/>
          <w:szCs w:val="20"/>
        </w:rPr>
        <w:t xml:space="preserve"> A Microsoft Corporation não é uma parte neste contrato, mas é um beneficiário terceiro do seu contrato com o licenciante para resolver controvérsias por meio da arbitragem e negociação informal.</w:t>
      </w:r>
    </w:p>
    <w:p w14:paraId="733B02DC" w14:textId="7A035AFB" w:rsidR="00FF0E3F" w:rsidRPr="00583E0B" w:rsidRDefault="0093375D" w:rsidP="00BE2BDB">
      <w:pPr>
        <w:pStyle w:val="ListParagraph"/>
        <w:keepNext/>
        <w:keepLines/>
        <w:widowControl/>
        <w:numPr>
          <w:ilvl w:val="0"/>
          <w:numId w:val="12"/>
        </w:numPr>
        <w:tabs>
          <w:tab w:val="left" w:pos="360"/>
        </w:tabs>
        <w:spacing w:before="120" w:after="120"/>
        <w:ind w:left="360"/>
        <w:contextualSpacing w:val="0"/>
      </w:pPr>
      <w:r>
        <w:rPr>
          <w:b/>
          <w:bCs/>
          <w:sz w:val="20"/>
          <w:szCs w:val="20"/>
        </w:rPr>
        <w:t>LEI APLICÁVEL.</w:t>
      </w:r>
      <w:r>
        <w:rPr>
          <w:bCs/>
          <w:sz w:val="20"/>
          <w:szCs w:val="20"/>
        </w:rPr>
        <w:t xml:space="preserve"> 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REDES, DADOS E USO DE INTERNET.</w:t>
      </w:r>
      <w:r>
        <w:rPr>
          <w:bCs/>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VERSÕES DE DIREITOS LIMITADOS. </w:t>
      </w:r>
      <w:r>
        <w:rPr>
          <w:sz w:val="20"/>
          <w:szCs w:val="20"/>
        </w:rPr>
        <w:t>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ou University.</w:t>
      </w:r>
      <w:r>
        <w:rPr>
          <w:sz w:val="20"/>
          <w:szCs w:val="20"/>
        </w:rPr>
        <w:t xml:space="preserve"> Para uso acadêmico, você deve ser um aluno, membro do docente e da equipe de uma instituição educacional no momento da compra.</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e Student.</w:t>
      </w:r>
    </w:p>
    <w:p w14:paraId="2488DC2F" w14:textId="19406A9E"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Você deve ser um “Militar Qualificado” para licenciar o software marcado como edição </w:t>
      </w:r>
      <w:r w:rsidR="00C6179C">
        <w:rPr>
          <w:sz w:val="20"/>
          <w:szCs w:val="20"/>
        </w:rPr>
        <w:t>“</w:t>
      </w:r>
      <w:r>
        <w:rPr>
          <w:sz w:val="20"/>
          <w:szCs w:val="20"/>
        </w:rPr>
        <w:t>Military Appreciation</w:t>
      </w:r>
      <w:r w:rsidR="00C6179C">
        <w:rPr>
          <w:sz w:val="20"/>
          <w:szCs w:val="20"/>
        </w:rPr>
        <w:t>”</w:t>
      </w:r>
      <w:r>
        <w:rPr>
          <w:sz w:val="20"/>
          <w:szCs w:val="20"/>
        </w:rPr>
        <w:t>. Para ser um Usuário Militar Qualificado, nos Estados Unidos da América, você deve ser um patrocinador autorizado das Forças Armadas de acordo com os estatutos e os regulamentos federais americanos aplicáveis.</w:t>
      </w:r>
    </w:p>
    <w:p w14:paraId="2413083E" w14:textId="04D12B9A"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Forças Canadenses.</w:t>
      </w:r>
      <w:r>
        <w:rPr>
          <w:sz w:val="20"/>
          <w:szCs w:val="20"/>
        </w:rPr>
        <w:t xml:space="preserve"> </w:t>
      </w:r>
      <w:r>
        <w:rPr>
          <w:rFonts w:eastAsia="MS Mincho"/>
          <w:sz w:val="20"/>
          <w:szCs w:val="20"/>
        </w:rPr>
        <w:t xml:space="preserve">Você deve ser um “Patrocinador Autorizado CANEX” para licenciar o software marcado como edição </w:t>
      </w:r>
      <w:r w:rsidR="00C6179C">
        <w:rPr>
          <w:rFonts w:eastAsia="MS Mincho"/>
          <w:sz w:val="20"/>
          <w:szCs w:val="20"/>
        </w:rPr>
        <w:t>“</w:t>
      </w:r>
      <w:r>
        <w:rPr>
          <w:rFonts w:eastAsia="MS Mincho"/>
          <w:sz w:val="20"/>
          <w:szCs w:val="20"/>
        </w:rPr>
        <w:t>Canadian Forces</w:t>
      </w:r>
      <w:r w:rsidR="00C6179C">
        <w:rPr>
          <w:rFonts w:eastAsia="MS Mincho"/>
          <w:sz w:val="20"/>
          <w:szCs w:val="20"/>
        </w:rPr>
        <w:t>”</w:t>
      </w:r>
      <w:r>
        <w:rPr>
          <w:rFonts w:eastAsia="MS Mincho"/>
          <w:sz w:val="20"/>
          <w:szCs w:val="20"/>
        </w:rPr>
        <w:t>. Patrocinadores Autorizados CANEX são:</w:t>
      </w:r>
    </w:p>
    <w:p w14:paraId="5AFB05A4" w14:textId="6762D5F1" w:rsidR="00D974F1" w:rsidRPr="00583E0B" w:rsidRDefault="00D974F1" w:rsidP="009A7D95">
      <w:pPr>
        <w:numPr>
          <w:ilvl w:val="0"/>
          <w:numId w:val="2"/>
        </w:numPr>
        <w:spacing w:before="120" w:after="120"/>
      </w:pPr>
      <w:r>
        <w:rPr>
          <w:rFonts w:eastAsia="MS Mincho"/>
          <w:sz w:val="20"/>
          <w:szCs w:val="20"/>
        </w:rPr>
        <w:t>Membros das Forças Armadas (CAF) (Força Regular e Reserva) e suas famílias;</w:t>
      </w:r>
    </w:p>
    <w:p w14:paraId="6B143EA4" w14:textId="21B67F8E" w:rsidR="00D974F1" w:rsidRPr="00583E0B" w:rsidRDefault="00D974F1" w:rsidP="009A7D95">
      <w:pPr>
        <w:numPr>
          <w:ilvl w:val="0"/>
          <w:numId w:val="2"/>
        </w:numPr>
        <w:spacing w:before="120" w:after="120"/>
      </w:pPr>
      <w:r>
        <w:rPr>
          <w:rFonts w:eastAsia="MS Mincho"/>
          <w:sz w:val="20"/>
          <w:szCs w:val="20"/>
        </w:rPr>
        <w:t>Veteranos (antigos membros do CAF) e suas famílias, incluindo as famílias de falecidos;</w:t>
      </w:r>
    </w:p>
    <w:p w14:paraId="02B40029" w14:textId="02F4EEA8" w:rsidR="00D974F1" w:rsidRPr="00583E0B" w:rsidRDefault="00D974F1" w:rsidP="009A7D95">
      <w:pPr>
        <w:numPr>
          <w:ilvl w:val="0"/>
          <w:numId w:val="2"/>
        </w:numPr>
        <w:spacing w:before="120" w:after="120"/>
      </w:pPr>
      <w:r>
        <w:rPr>
          <w:rFonts w:eastAsia="MS Mincho"/>
          <w:sz w:val="20"/>
          <w:szCs w:val="20"/>
        </w:rPr>
        <w:t>Membros de militares estrangeiros que servem atualmente com o CAF e suas famílias;</w:t>
      </w:r>
    </w:p>
    <w:p w14:paraId="4E76CBA2" w14:textId="4FE8223C" w:rsidR="00D974F1" w:rsidRPr="00583E0B" w:rsidRDefault="00D974F1" w:rsidP="009A7D95">
      <w:pPr>
        <w:numPr>
          <w:ilvl w:val="0"/>
          <w:numId w:val="2"/>
        </w:numPr>
        <w:spacing w:before="120" w:after="120"/>
      </w:pPr>
      <w:r>
        <w:rPr>
          <w:rFonts w:eastAsia="MS Mincho"/>
          <w:sz w:val="20"/>
          <w:szCs w:val="20"/>
        </w:rPr>
        <w:t>Equipe Atual de Fundos Não Públicos, Forças Canadenses (NPF, CF);</w:t>
      </w:r>
    </w:p>
    <w:p w14:paraId="3E6EDC2C" w14:textId="4977429A" w:rsidR="00D974F1" w:rsidRPr="00583E0B" w:rsidRDefault="00D974F1" w:rsidP="009A7D95">
      <w:pPr>
        <w:numPr>
          <w:ilvl w:val="0"/>
          <w:numId w:val="2"/>
        </w:numPr>
        <w:spacing w:before="120" w:after="120"/>
      </w:pPr>
      <w:r>
        <w:rPr>
          <w:rFonts w:eastAsia="MS Mincho"/>
          <w:sz w:val="20"/>
          <w:szCs w:val="20"/>
        </w:rPr>
        <w:t>Equipe atual dos Centros de Recursos a Famílias de Militares (MFRCs);</w:t>
      </w:r>
    </w:p>
    <w:p w14:paraId="3E01580E" w14:textId="7F42F292" w:rsidR="00D974F1" w:rsidRPr="00583E0B" w:rsidRDefault="00D974F1" w:rsidP="009A7D95">
      <w:pPr>
        <w:numPr>
          <w:ilvl w:val="0"/>
          <w:numId w:val="2"/>
        </w:numPr>
        <w:spacing w:before="120" w:after="120"/>
      </w:pPr>
      <w:r>
        <w:rPr>
          <w:rFonts w:eastAsia="MS Mincho"/>
          <w:sz w:val="20"/>
          <w:szCs w:val="20"/>
        </w:rPr>
        <w:t>Servidores Públicos do Departamento Atual de Defesa Nacional (DND) e suas famílias;</w:t>
      </w:r>
    </w:p>
    <w:p w14:paraId="549BE348" w14:textId="0A0E7F19" w:rsidR="00D974F1" w:rsidRPr="00583E0B" w:rsidRDefault="00D974F1" w:rsidP="009A7D95">
      <w:pPr>
        <w:numPr>
          <w:ilvl w:val="0"/>
          <w:numId w:val="2"/>
        </w:numPr>
        <w:spacing w:before="120" w:after="120"/>
      </w:pPr>
      <w:r>
        <w:rPr>
          <w:rFonts w:eastAsia="MS Mincho"/>
          <w:sz w:val="20"/>
          <w:szCs w:val="20"/>
        </w:rPr>
        <w:t>Servidor e ex-servidores da Política Montada Real Canadense (RCMP) e suas famílias;</w:t>
      </w:r>
    </w:p>
    <w:p w14:paraId="7B6B24F5" w14:textId="3DDB61B6" w:rsidR="00D974F1" w:rsidRPr="00583E0B" w:rsidRDefault="00D974F1" w:rsidP="009A7D95">
      <w:pPr>
        <w:numPr>
          <w:ilvl w:val="0"/>
          <w:numId w:val="2"/>
        </w:numPr>
        <w:spacing w:before="120" w:after="120"/>
      </w:pPr>
      <w:r>
        <w:rPr>
          <w:rFonts w:eastAsia="MS Mincho"/>
          <w:sz w:val="20"/>
          <w:szCs w:val="20"/>
        </w:rPr>
        <w:t>Equipe atual de Pesquisa e Desenvolvimento de Defesa (DRDC) e suas famílias;</w:t>
      </w:r>
    </w:p>
    <w:p w14:paraId="5875C91B" w14:textId="5609BFDA" w:rsidR="00D974F1" w:rsidRPr="00583E0B" w:rsidRDefault="00D974F1" w:rsidP="009A7D95">
      <w:pPr>
        <w:numPr>
          <w:ilvl w:val="0"/>
          <w:numId w:val="2"/>
        </w:numPr>
        <w:spacing w:before="120" w:after="120"/>
      </w:pPr>
      <w:r>
        <w:rPr>
          <w:rFonts w:eastAsia="MS Mincho"/>
          <w:sz w:val="20"/>
          <w:szCs w:val="20"/>
        </w:rPr>
        <w:t>Equipe atual de Construção de Defesa do Canadá (DCC) e suas famílias;</w:t>
      </w:r>
    </w:p>
    <w:p w14:paraId="39B1059F" w14:textId="00FBE509" w:rsidR="00D974F1" w:rsidRPr="00583E0B" w:rsidRDefault="00D974F1" w:rsidP="009A7D95">
      <w:pPr>
        <w:numPr>
          <w:ilvl w:val="0"/>
          <w:numId w:val="2"/>
        </w:numPr>
        <w:spacing w:before="120" w:after="120"/>
      </w:pPr>
      <w:r>
        <w:rPr>
          <w:rFonts w:eastAsia="MS Mincho"/>
          <w:sz w:val="20"/>
          <w:szCs w:val="20"/>
        </w:rPr>
        <w:t>Coronéis/Capitães Honorários (N), Tenentes-coronéis/Comandantes e suas famílias;</w:t>
      </w:r>
    </w:p>
    <w:p w14:paraId="5731856B" w14:textId="1DFAF557" w:rsidR="00D974F1" w:rsidRPr="00583E0B" w:rsidRDefault="00D974F1" w:rsidP="009A7D95">
      <w:pPr>
        <w:numPr>
          <w:ilvl w:val="0"/>
          <w:numId w:val="2"/>
        </w:numPr>
        <w:spacing w:before="120" w:after="120"/>
      </w:pPr>
      <w:r>
        <w:rPr>
          <w:rFonts w:eastAsia="MS Mincho"/>
          <w:sz w:val="20"/>
          <w:szCs w:val="20"/>
        </w:rPr>
        <w:t>Membros da família da Equipe de NPF, CF ou</w:t>
      </w:r>
    </w:p>
    <w:p w14:paraId="53CCD432" w14:textId="42CF6170" w:rsidR="0089137A" w:rsidRPr="00583E0B" w:rsidRDefault="00D974F1" w:rsidP="009A7D95">
      <w:pPr>
        <w:numPr>
          <w:ilvl w:val="0"/>
          <w:numId w:val="2"/>
        </w:numPr>
        <w:spacing w:before="120" w:after="120"/>
      </w:pPr>
      <w:r>
        <w:rPr>
          <w:rFonts w:eastAsia="MS Mincho"/>
          <w:sz w:val="20"/>
          <w:szCs w:val="20"/>
        </w:rPr>
        <w:t>Membros da família de MFRCs.</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DIREITOS DO CONSUMIDOR; VARIAÇÕES REGIONAIS. </w:t>
      </w:r>
      <w:r>
        <w:rPr>
          <w:bCs/>
          <w:sz w:val="20"/>
          <w:szCs w:val="20"/>
        </w:rPr>
        <w:t>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permitirem que você o faça. Por exemplo, se você adquiriu o software em uma das regiões a seguir ou se forem aplicadas leis obrigatórias do país, então as seguintes cláusulas se aplicarão a você:</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Austrália. </w:t>
      </w:r>
      <w:r>
        <w:rPr>
          <w:bCs/>
          <w:sz w:val="20"/>
          <w:szCs w:val="20"/>
        </w:rPr>
        <w:t>Essa garantia é fornecida além de outros direitos e recursos que você pode ter sob a lei, incluindo seus direitos e recursos de acordo com as garantias do consumidor sob a Lei de Consumo Australiana. Nada neste contrato limita nem altera os referidos direitos e recursos.</w:t>
      </w:r>
    </w:p>
    <w:p w14:paraId="2E436D9B" w14:textId="1DF5CCE3" w:rsidR="001869A1" w:rsidRPr="00583E0B" w:rsidRDefault="00AE3DD3" w:rsidP="009A7D95">
      <w:pPr>
        <w:tabs>
          <w:tab w:val="left" w:pos="720"/>
        </w:tabs>
        <w:spacing w:before="120" w:after="120"/>
        <w:ind w:left="720"/>
      </w:pPr>
      <w:r>
        <w:rPr>
          <w:bCs/>
          <w:sz w:val="20"/>
          <w:szCs w:val="20"/>
        </w:rPr>
        <w:t>Para obter mais informações sobre seus direitos segundo a Lei de Consumo Australiana, consulte o documento no site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Canadá. </w:t>
      </w:r>
      <w:r>
        <w:rPr>
          <w:bCs/>
          <w:sz w:val="20"/>
          <w:szCs w:val="20"/>
        </w:rPr>
        <w:t>Você pode parar de receber atualizações em seu dispositivo desativando o acesso à Internet. Se e quando você se reconectar à Internet, o software continuará verificando e instalando as atualizações.</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União Europeia. </w:t>
      </w:r>
      <w:r>
        <w:rPr>
          <w:bCs/>
          <w:sz w:val="20"/>
          <w:szCs w:val="20"/>
        </w:rPr>
        <w:t xml:space="preserve">A restrição de uso acadêmico na seção </w:t>
      </w:r>
      <w:r>
        <w:rPr>
          <w:sz w:val="20"/>
          <w:szCs w:val="20"/>
        </w:rPr>
        <w:t>acima intitulada “Versões de Direitos Limitados, Academic ou University”</w:t>
      </w:r>
      <w:r>
        <w:rPr>
          <w:bCs/>
          <w:sz w:val="20"/>
          <w:szCs w:val="20"/>
        </w:rPr>
        <w:t xml:space="preserve"> podem não se aplicar a </w:t>
      </w:r>
      <w:r>
        <w:rPr>
          <w:sz w:val="20"/>
          <w:szCs w:val="20"/>
        </w:rPr>
        <w:t xml:space="preserve">você. Seus direitos de uso serão compatíveis com </w:t>
      </w:r>
      <w:r>
        <w:rPr>
          <w:bCs/>
          <w:sz w:val="20"/>
          <w:szCs w:val="20"/>
        </w:rPr>
        <w:t xml:space="preserve">leis </w:t>
      </w:r>
      <w:r>
        <w:rPr>
          <w:sz w:val="20"/>
          <w:szCs w:val="20"/>
        </w:rPr>
        <w:t>locais que estão sujeitas</w:t>
      </w:r>
      <w:r>
        <w:rPr>
          <w:bCs/>
          <w:sz w:val="20"/>
          <w:szCs w:val="20"/>
        </w:rPr>
        <w:t xml:space="preserve"> a </w:t>
      </w:r>
      <w:r>
        <w:rPr>
          <w:sz w:val="20"/>
          <w:szCs w:val="20"/>
        </w:rPr>
        <w:t>alterações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Alemanha e Áustria.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Garantia.</w:t>
      </w:r>
      <w:r>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Limitação de Responsabilidade</w:t>
      </w:r>
      <w:r w:rsidRPr="00BE2BDB">
        <w:rPr>
          <w:b/>
          <w:sz w:val="20"/>
          <w:szCs w:val="20"/>
        </w:rPr>
        <w:t>.</w:t>
      </w:r>
      <w:r>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14:paraId="4151E26A" w14:textId="3AD93642" w:rsidR="00623937" w:rsidRPr="00583E0B" w:rsidRDefault="001869A1" w:rsidP="009A7D95">
      <w:pPr>
        <w:tabs>
          <w:tab w:val="left" w:pos="1080"/>
        </w:tabs>
        <w:spacing w:before="120" w:after="120"/>
        <w:ind w:left="1080"/>
      </w:pPr>
      <w:r>
        <w:rPr>
          <w:sz w:val="20"/>
          <w:szCs w:val="20"/>
        </w:rPr>
        <w:t>De acordo com a sentença anterior, o licenciante ou a Microsoft só poderá ser responsável por negligência leve se o licenciante ou a Microsoft tiver violado essas obrigações contratuais substanciais, cuja observância facilitará o devido cumprimento deste contrato, e cuja violação poderá colocar em risco os objetivos deste contrato e a conformidade com a qual uma parte poderá confiar constantemente (as chamadas “obrigações primordiais”). Em todos os casos de negligência leve, o licenciante ou a Microsoft não serão responsáveis por negligência leve.</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Japão. </w:t>
      </w:r>
      <w:r>
        <w:rPr>
          <w:bCs/>
          <w:sz w:val="20"/>
          <w:szCs w:val="20"/>
        </w:rPr>
        <w:t>Se você morar no Japão ou tiver adquirido o software enquanto morava lá, nós teremos os seguintes direitos desde que você cumpra todos os termos deste contrato: você também pode instalar e usar uma segunda cópia do software em um segundo dispositivo licenciado para seu uso como o usuário licenciado do primeiro dispositivo licenciado. As restrições de uso não comercial estabelecidas na Seção 12 não se aplicam ao seu uso do software se você morar no Japão ou tiver adquirido o software enquanto morava lá.</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Você deve ser um “Usuário do Home Use Program” para usar o software designado como “Home Use Program”. Para ser um Usuário do Home Use Program, você deve ser:</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funcionário de uma organização que tenha um contrato de Licenciamento por Volume da Microsoft com Software Assurance, ou teve Software Assurance ativo anteriormente, e atenda a outros critérios, e</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usuário de uma cópia do software, ou de um produto que inclua o software, que seja licenciada ao seu funcionário segundo o contrato de Licenciamento por Volume.</w:t>
      </w:r>
    </w:p>
    <w:p w14:paraId="078E6BD3" w14:textId="52F30673" w:rsidR="009729BB" w:rsidRPr="00583E0B" w:rsidRDefault="00A239A3" w:rsidP="009A7D95">
      <w:pPr>
        <w:tabs>
          <w:tab w:val="left" w:pos="360"/>
        </w:tabs>
        <w:spacing w:before="120" w:after="120"/>
        <w:ind w:left="360"/>
      </w:pPr>
      <w:r>
        <w:rPr>
          <w:bCs/>
          <w:sz w:val="20"/>
          <w:szCs w:val="20"/>
        </w:rPr>
        <w:t>Caso tenha dúvida se você se qualifica como Usuário do Home Use Program, entre em contato com o seu empregador.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PACOTES DE IDIOMAS E FERRAMENTAS DE REVISÃO. </w:t>
      </w:r>
      <w:r>
        <w:rPr>
          <w:bCs/>
          <w:sz w:val="20"/>
          <w:szCs w:val="20"/>
        </w:rPr>
        <w:t>Se você adquirir um pacote de idiomas ou uma ferramenta de revisão que ofereça um suporte à versão de idioma adicional para o software, você poderá usar os idiomas adicionais incluídos no pacote ou na ferramenta. Os pacotes de idiomas e as ferramentas de revisão fazem parte do software e não podem ser usados separadamente.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RESERVA DE DIREITOS E COMENTÁRIOS.</w:t>
      </w:r>
      <w:r>
        <w:rPr>
          <w:bCs/>
          <w:sz w:val="20"/>
          <w:szCs w:val="20"/>
        </w:rPr>
        <w:t xml:space="preserve"> Exceto se expressamente estabelecido neste contrato, o licenciante e a Microsoft não outorgam a você uma licença ou outros direitos de nenhum tipo sob nenhuma patente, conhecimento especializado, segredos comerciais, marcas registradas ou outra propriedade intelectual pertencentes ou controladas pela Microsoft ou por qualquer entidade relacionada, incluindo, entre outros, nome, imagem comercial, logotipo ou equivalentes. Se você fornecer à Microsoft qualquer proposta, sugestões, feedback, incluindo, entre outros, ideias para novos produtos, tecnologias, promoções, nomes de produtos, feedback de produtos e melhorias de produtos (“Feedback”), você dará à Microsoft, sem custo, royalties ou outras obrigações com você, o direito de usar, criar, criar trabalhos derivados, usar, compartilhar e comercializar seu Feedback de qualquer forma e para qualquer finalidade. Você não deverá fornecer Feedback que esteja sujeito a uma licença que exija que a Microsoft licencie seu software, suas tecnologias ou sua documentação a quaisquer terceiros simplesmente porque a Microsoft inclui seu Feedback neles.</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ACORDO INTEGRAL.</w:t>
      </w:r>
      <w:r>
        <w:rPr>
          <w:bCs/>
          <w:sz w:val="20"/>
          <w:szCs w:val="20"/>
        </w:rPr>
        <w:t xml:space="preserve"> Este contrato (junto com os termos de licença impressos ou outros termos que acompanham quaisquer suplementos, atualizações, upgrades e serviços que são fornecidos pelo licenciante ou a Microsoft e usados por você) e os termos contidos nos links da Web listados neste contrato constituem o acordo integral do software e quaisquer suplementos, atualizações, upgrades e serviços (a menos que o licenciante ou a Microsoft forneça tais suplementos, atualizações, upgrades ou serviços). Você pode revisar os termos em qualquer um dos links neste contrato depois que seu software estiver em execução, digitando as URLs em sua barra de endereços do navegador, e você concorda em fazer isso. Você concorda que lerá os termos antes de usar o software ou os serviços, incluindo quaisquer termos vinculados. Você concorda que, mediante o uso do software e dos serviços, você aceita este contrato e os termos vinculados. Os links a seguir também são informativos neste contrato. Os links contendo notificações e os termos vinculatórios são:</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Política de Privacidade da Microsoft (</w:t>
      </w:r>
      <w:hyperlink r:id="rId17"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Serviços da Microsoft (</w:t>
      </w:r>
      <w:hyperlink r:id="rId18"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133479B2" w14:textId="4709B0E8" w:rsidR="0039417B" w:rsidRPr="00583E0B" w:rsidRDefault="003E7E64" w:rsidP="009A7D95">
      <w:pPr>
        <w:spacing w:before="120" w:after="120"/>
      </w:pPr>
      <w:r>
        <w:rPr>
          <w:bCs/>
          <w:sz w:val="20"/>
          <w:szCs w:val="20"/>
        </w:rPr>
        <w:t xml:space="preserve">Microsoft e </w:t>
      </w:r>
      <w:r w:rsidR="007F7295">
        <w:rPr>
          <w:bCs/>
          <w:sz w:val="20"/>
          <w:szCs w:val="20"/>
        </w:rPr>
        <w:t>Excel</w:t>
      </w:r>
      <w:r>
        <w:rPr>
          <w:bCs/>
          <w:sz w:val="20"/>
          <w:szCs w:val="20"/>
        </w:rPr>
        <w:t xml:space="preserve"> são marcas registradas da Microsoft Corporation nos Estados Unidos e/ou em outros países.</w:t>
      </w:r>
    </w:p>
    <w:sectPr w:rsidR="0039417B" w:rsidRPr="00583E0B" w:rsidSect="00D93C4E">
      <w:footerReference w:type="default" r:id="rId19"/>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948D03" w14:textId="77777777" w:rsidR="006B4C3A" w:rsidRDefault="006B4C3A" w:rsidP="00FD75BC">
      <w:r>
        <w:separator/>
      </w:r>
    </w:p>
  </w:endnote>
  <w:endnote w:type="continuationSeparator" w:id="0">
    <w:p w14:paraId="320ACE76" w14:textId="77777777" w:rsidR="006B4C3A" w:rsidRDefault="006B4C3A" w:rsidP="00FD75BC">
      <w:r>
        <w:continuationSeparator/>
      </w:r>
    </w:p>
  </w:endnote>
  <w:endnote w:type="continuationNotice" w:id="1">
    <w:p w14:paraId="74DB8D98" w14:textId="77777777" w:rsidR="006B4C3A" w:rsidRDefault="006B4C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1E0" w:firstRow="1" w:lastRow="1" w:firstColumn="1" w:lastColumn="1" w:noHBand="0" w:noVBand="0"/>
    </w:tblPr>
    <w:tblGrid>
      <w:gridCol w:w="4844"/>
      <w:gridCol w:w="473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Contrato de Licença de Usuário Final ISV Royalty</w:t>
          </w:r>
        </w:p>
        <w:p w14:paraId="32C97D26" w14:textId="12322406" w:rsidR="00D93C4E" w:rsidRPr="001E6FD1" w:rsidRDefault="007F7295" w:rsidP="00D93C4E">
          <w:pPr>
            <w:tabs>
              <w:tab w:val="center" w:pos="4680"/>
              <w:tab w:val="right" w:pos="9360"/>
            </w:tabs>
            <w:rPr>
              <w:sz w:val="16"/>
              <w:szCs w:val="18"/>
            </w:rPr>
          </w:pPr>
          <w:r>
            <w:rPr>
              <w:sz w:val="16"/>
              <w:szCs w:val="18"/>
            </w:rPr>
            <w:t>Excel</w:t>
          </w:r>
          <w:r w:rsidR="00100099">
            <w:rPr>
              <w:sz w:val="16"/>
              <w:szCs w:val="18"/>
            </w:rPr>
            <w:t xml:space="preserve"> (1º de outubro de 20</w:t>
          </w:r>
          <w:r w:rsidR="00C83A22">
            <w:rPr>
              <w:sz w:val="16"/>
              <w:szCs w:val="18"/>
            </w:rPr>
            <w:t>2</w:t>
          </w:r>
          <w:r w:rsidR="00293A2F">
            <w:rPr>
              <w:sz w:val="16"/>
              <w:szCs w:val="18"/>
            </w:rPr>
            <w:t>4</w:t>
          </w:r>
          <w:r w:rsidR="00100099">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F03DBF">
            <w:rPr>
              <w:noProof/>
              <w:sz w:val="16"/>
              <w:szCs w:val="18"/>
            </w:rPr>
            <w:t>1</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F03DBF">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8361AB" w14:textId="77777777" w:rsidR="006B4C3A" w:rsidRDefault="006B4C3A" w:rsidP="00FD75BC">
      <w:r>
        <w:separator/>
      </w:r>
    </w:p>
  </w:footnote>
  <w:footnote w:type="continuationSeparator" w:id="0">
    <w:p w14:paraId="002AF573" w14:textId="77777777" w:rsidR="006B4C3A" w:rsidRDefault="006B4C3A" w:rsidP="00FD75BC">
      <w:r>
        <w:continuationSeparator/>
      </w:r>
    </w:p>
  </w:footnote>
  <w:footnote w:type="continuationNotice" w:id="1">
    <w:p w14:paraId="09E0A13B" w14:textId="77777777" w:rsidR="006B4C3A" w:rsidRDefault="006B4C3A"/>
  </w:footnote>
  <w:footnote w:id="2">
    <w:p w14:paraId="16187EEA" w14:textId="6C35E23D"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Pr>
          <w:b/>
        </w:rPr>
        <w:t>LICENCIANTE: Inclua o nome de produto apropriado, ou seja, “Standard” ou “Professional”. Por exemplo, se o software licenciado for o Standard Edition do Microsoft</w:t>
      </w:r>
      <w:r w:rsidRPr="00863015">
        <w:rPr>
          <w:b/>
          <w:vertAlign w:val="superscript"/>
        </w:rPr>
        <w:t>®</w:t>
      </w:r>
      <w:r>
        <w:rPr>
          <w:b/>
        </w:rPr>
        <w:t xml:space="preserve"> Office</w:t>
      </w:r>
      <w:r w:rsidRPr="00863015">
        <w:rPr>
          <w:b/>
          <w:vertAlign w:val="superscript"/>
        </w:rPr>
        <w:t>®</w:t>
      </w:r>
      <w:r>
        <w:rPr>
          <w:b/>
        </w:rPr>
        <w:t xml:space="preserve"> </w:t>
      </w:r>
      <w:r w:rsidR="00C83A22">
        <w:rPr>
          <w:b/>
        </w:rPr>
        <w:t>LTSC 202</w:t>
      </w:r>
      <w:r w:rsidR="00293A2F">
        <w:rPr>
          <w:b/>
        </w:rPr>
        <w:t>4</w:t>
      </w:r>
      <w:r>
        <w:rPr>
          <w:b/>
        </w:rPr>
        <w:t>, o nome de produto será: Microsoft</w:t>
      </w:r>
      <w:r w:rsidRPr="00863015">
        <w:rPr>
          <w:b/>
          <w:vertAlign w:val="superscript"/>
        </w:rPr>
        <w:t>®</w:t>
      </w:r>
      <w:r>
        <w:rPr>
          <w:b/>
        </w:rPr>
        <w:t xml:space="preserve"> Office</w:t>
      </w:r>
      <w:r w:rsidRPr="00863015">
        <w:rPr>
          <w:b/>
          <w:vertAlign w:val="superscript"/>
        </w:rPr>
        <w:t>®</w:t>
      </w:r>
      <w:r>
        <w:rPr>
          <w:b/>
        </w:rPr>
        <w:t xml:space="preserve"> </w:t>
      </w:r>
      <w:r w:rsidR="00C83A22">
        <w:rPr>
          <w:b/>
        </w:rPr>
        <w:t xml:space="preserve">LTSC </w:t>
      </w:r>
      <w:r>
        <w:rPr>
          <w:b/>
        </w:rPr>
        <w:t>Standard 20</w:t>
      </w:r>
      <w:r w:rsidR="00C83A22">
        <w:rPr>
          <w:b/>
        </w:rPr>
        <w:t>2</w:t>
      </w:r>
      <w:r w:rsidR="00293A2F">
        <w:rPr>
          <w:b/>
        </w:rPr>
        <w:t>4</w:t>
      </w:r>
      <w:r>
        <w:rPr>
          <w:b/>
        </w:rPr>
        <w:t>.</w:t>
      </w:r>
    </w:p>
  </w:footnote>
  <w:footnote w:id="3">
    <w:p w14:paraId="740B5978" w14:textId="18024365"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sidRPr="00611460">
        <w:rPr>
          <w:rFonts w:cs="Tahoma"/>
          <w:b/>
        </w:rPr>
        <w:t>LICENCIANTE: para software licenciado “Academic Edition”, especifique o nome, por exemplo: Microsoft</w:t>
      </w:r>
      <w:r w:rsidRPr="00863015">
        <w:rPr>
          <w:b/>
          <w:vertAlign w:val="superscript"/>
        </w:rPr>
        <w:t>®</w:t>
      </w:r>
      <w:r w:rsidRPr="00611460">
        <w:rPr>
          <w:rFonts w:cs="Tahoma"/>
          <w:b/>
        </w:rPr>
        <w:t xml:space="preserve"> Office</w:t>
      </w:r>
      <w:r w:rsidRPr="00863015">
        <w:rPr>
          <w:b/>
          <w:vertAlign w:val="superscript"/>
        </w:rPr>
        <w:t>®</w:t>
      </w:r>
      <w:r w:rsidRPr="00611460">
        <w:rPr>
          <w:rFonts w:cs="Tahoma"/>
          <w:b/>
        </w:rPr>
        <w:t xml:space="preserve"> </w:t>
      </w:r>
      <w:r w:rsidR="00C83A22">
        <w:rPr>
          <w:rFonts w:cs="Tahoma"/>
          <w:b/>
        </w:rPr>
        <w:t xml:space="preserve">LTSC </w:t>
      </w:r>
      <w:r w:rsidRPr="00611460">
        <w:rPr>
          <w:rFonts w:cs="Tahoma"/>
          <w:b/>
        </w:rPr>
        <w:t>Standard 20</w:t>
      </w:r>
      <w:r w:rsidR="00C83A22">
        <w:rPr>
          <w:rFonts w:cs="Tahoma"/>
          <w:b/>
        </w:rPr>
        <w:t>2</w:t>
      </w:r>
      <w:r w:rsidR="00293A2F">
        <w:rPr>
          <w:rFonts w:cs="Tahoma"/>
          <w:b/>
        </w:rPr>
        <w:t>4</w:t>
      </w:r>
      <w:r w:rsidRPr="00611460">
        <w:rPr>
          <w:rFonts w:cs="Tahoma"/>
          <w:b/>
        </w:rPr>
        <w:t>, Academic Edition.</w:t>
      </w:r>
    </w:p>
  </w:footnote>
  <w:footnote w:id="4">
    <w:p w14:paraId="570D80ED" w14:textId="53EF8798" w:rsidR="00611460" w:rsidRPr="001E6FD1" w:rsidRDefault="00611460" w:rsidP="00611460">
      <w:pPr>
        <w:pStyle w:val="Footnote"/>
        <w:spacing w:after="120"/>
        <w:rPr>
          <w:rFonts w:cs="Tahoma"/>
        </w:rPr>
      </w:pPr>
      <w:r w:rsidRPr="001E6FD1">
        <w:rPr>
          <w:rFonts w:cs="Tahoma"/>
          <w:b/>
          <w:vertAlign w:val="superscript"/>
        </w:rPr>
        <w:footnoteRef/>
      </w:r>
      <w:r w:rsidRPr="001E6FD1">
        <w:rPr>
          <w:rFonts w:cs="Tahoma"/>
          <w:b/>
        </w:rPr>
        <w:t xml:space="preserve"> </w:t>
      </w:r>
      <w:r w:rsidRPr="00611460">
        <w:rPr>
          <w:rFonts w:cs="Tahoma"/>
          <w:b/>
        </w:rPr>
        <w:t>LICENCIANTE: 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F4CE962"/>
    <w:lvl w:ilvl="0" w:tplc="D6AC29C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0102440"/>
    <w:lvl w:ilvl="0" w:tplc="F0940668">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2326B0A"/>
    <w:lvl w:ilvl="0" w:tplc="99FE2536">
      <w:start w:val="1"/>
      <w:numFmt w:val="decimal"/>
      <w:lvlText w:val="%1."/>
      <w:lvlJc w:val="left"/>
      <w:pPr>
        <w:ind w:left="720" w:hanging="360"/>
      </w:pPr>
      <w:rPr>
        <w:rFonts w:hint="default"/>
        <w:b/>
        <w:sz w:val="20"/>
        <w:szCs w:val="20"/>
      </w:rPr>
    </w:lvl>
    <w:lvl w:ilvl="1" w:tplc="02DE6CC8">
      <w:start w:val="1"/>
      <w:numFmt w:val="lowerLetter"/>
      <w:lvlText w:val="%2."/>
      <w:lvlJc w:val="left"/>
      <w:pPr>
        <w:ind w:left="1440" w:hanging="360"/>
      </w:pPr>
      <w:rPr>
        <w:rFonts w:hint="default"/>
        <w:b/>
        <w:sz w:val="20"/>
        <w:szCs w:val="20"/>
      </w:rPr>
    </w:lvl>
    <w:lvl w:ilvl="2" w:tplc="E22E91D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30790320">
    <w:abstractNumId w:val="9"/>
  </w:num>
  <w:num w:numId="2" w16cid:durableId="1749423129">
    <w:abstractNumId w:val="3"/>
  </w:num>
  <w:num w:numId="3" w16cid:durableId="551386692">
    <w:abstractNumId w:val="0"/>
  </w:num>
  <w:num w:numId="4" w16cid:durableId="1469203983">
    <w:abstractNumId w:val="5"/>
  </w:num>
  <w:num w:numId="5" w16cid:durableId="1352294166">
    <w:abstractNumId w:val="2"/>
  </w:num>
  <w:num w:numId="6" w16cid:durableId="819464085">
    <w:abstractNumId w:val="4"/>
  </w:num>
  <w:num w:numId="7" w16cid:durableId="786193280">
    <w:abstractNumId w:val="7"/>
  </w:num>
  <w:num w:numId="8" w16cid:durableId="1657996030">
    <w:abstractNumId w:val="10"/>
  </w:num>
  <w:num w:numId="9" w16cid:durableId="18163885">
    <w:abstractNumId w:val="8"/>
  </w:num>
  <w:num w:numId="10" w16cid:durableId="1511989408">
    <w:abstractNumId w:val="1"/>
  </w:num>
  <w:num w:numId="11" w16cid:durableId="106509440">
    <w:abstractNumId w:val="6"/>
  </w:num>
  <w:num w:numId="12" w16cid:durableId="1929628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ocumentProtection w:edit="forms" w:enforcement="1" w:cryptProviderType="rsaAES" w:cryptAlgorithmClass="hash" w:cryptAlgorithmType="typeAny" w:cryptAlgorithmSid="14" w:cryptSpinCount="100000" w:hash="seOUYOKnllOpggwqvLpbw2DAUqzDN1iiIKNhlI9Hp4XZFBAsqBRNYgOrdW68qxoID+Ibo4SYTCCFs1XshAWFaA==" w:salt="IDE2/C0Wtl1SySWulpV3n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62BA"/>
    <w:rsid w:val="001A7435"/>
    <w:rsid w:val="001B147F"/>
    <w:rsid w:val="001B16C2"/>
    <w:rsid w:val="001B3852"/>
    <w:rsid w:val="001B679F"/>
    <w:rsid w:val="001B6FAE"/>
    <w:rsid w:val="001C03D6"/>
    <w:rsid w:val="001C451C"/>
    <w:rsid w:val="001C5A52"/>
    <w:rsid w:val="001C6592"/>
    <w:rsid w:val="001C7378"/>
    <w:rsid w:val="001D2E2E"/>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3A2F"/>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04EE"/>
    <w:rsid w:val="004446D7"/>
    <w:rsid w:val="004510AC"/>
    <w:rsid w:val="00455D9D"/>
    <w:rsid w:val="004563EC"/>
    <w:rsid w:val="00456CFD"/>
    <w:rsid w:val="00461D7F"/>
    <w:rsid w:val="00461F1C"/>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4267"/>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1460"/>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6A5"/>
    <w:rsid w:val="00674944"/>
    <w:rsid w:val="00674DF4"/>
    <w:rsid w:val="00677908"/>
    <w:rsid w:val="00680BA7"/>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B4C3A"/>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5521"/>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295"/>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3015"/>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00C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57D76"/>
    <w:rsid w:val="00963FF2"/>
    <w:rsid w:val="009662CD"/>
    <w:rsid w:val="009662F6"/>
    <w:rsid w:val="009729BB"/>
    <w:rsid w:val="009802A3"/>
    <w:rsid w:val="0098073A"/>
    <w:rsid w:val="00980D3F"/>
    <w:rsid w:val="009835FA"/>
    <w:rsid w:val="00985B61"/>
    <w:rsid w:val="00985CC6"/>
    <w:rsid w:val="00987F9B"/>
    <w:rsid w:val="00991CFA"/>
    <w:rsid w:val="00993A79"/>
    <w:rsid w:val="009A01E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4E01"/>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2BDB"/>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179C"/>
    <w:rsid w:val="00C63CB5"/>
    <w:rsid w:val="00C67AFC"/>
    <w:rsid w:val="00C7041C"/>
    <w:rsid w:val="00C7122A"/>
    <w:rsid w:val="00C73178"/>
    <w:rsid w:val="00C76915"/>
    <w:rsid w:val="00C77C13"/>
    <w:rsid w:val="00C82F34"/>
    <w:rsid w:val="00C832D7"/>
    <w:rsid w:val="00C83A22"/>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252"/>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962"/>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51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3DBF"/>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DFC5BE39-10A6-437C-933A-8F9E488E5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sz w:val="22"/>
        <w:szCs w:val="22"/>
        <w:lang w:val="pt-BR" w:eastAsia="pt-BR" w:bidi="pt-B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arbitra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TaxCatchAll xmlns="230e9df3-be65-4c73-a93b-d1236ebd677e" xsi:nil="true"/>
    <Included xmlns="eebf34e1-3ce1-444e-acc4-010185dd52a4">false</Included>
    <Include xmlns="eebf34e1-3ce1-444e-acc4-010185dd52a4">0</Include>
    <Notes xmlns="eebf34e1-3ce1-444e-acc4-010185dd52a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918DAD-5F6B-41DD-AC86-92C121C5E7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3.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customXml/itemProps4.xml><?xml version="1.0" encoding="utf-8"?>
<ds:datastoreItem xmlns:ds="http://schemas.openxmlformats.org/officeDocument/2006/customXml" ds:itemID="{49845062-6880-449F-9EDE-375D03FCA3D5}">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69</TotalTime>
  <Pages>9</Pages>
  <Words>4603</Words>
  <Characters>26242</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30784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Tammy Klatt (WIMMER SOLUTIONS CORPORATION)</cp:lastModifiedBy>
  <cp:revision>5</cp:revision>
  <cp:lastPrinted>2018-09-20T20:16:00Z</cp:lastPrinted>
  <dcterms:created xsi:type="dcterms:W3CDTF">2018-09-21T21:17:00Z</dcterms:created>
  <dcterms:modified xsi:type="dcterms:W3CDTF">2024-10-24T21:45:00Z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y fmtid="{D5CDD505-2E9C-101B-9397-08002B2CF9AE}" pid="12" name="MediaServiceImageTags">
    <vt:lpwstr/>
  </property>
</Properties>
</file>